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  <w:r>
        <w:rPr>
          <w:rFonts w:ascii="Arial" w:hAnsi="Arial"/>
          <w:b/>
          <w:color w:val="2563EB"/>
          <w:sz w:val="22"/>
        </w:rPr>
        <w:t>SAVATRON OS · B2B ТА ТЕХНІЧНИЙ СУПРОВІД РЕКЛАМИ</w:t>
      </w:r>
    </w:p>
    <w:p>
      <w:pPr>
        <w:spacing w:before="40" w:after="120"/>
      </w:pPr>
      <w:r>
        <w:rPr>
          <w:rFonts w:ascii="Arial" w:hAnsi="Arial"/>
          <w:b/>
          <w:color w:val="0F172A"/>
          <w:sz w:val="36"/>
        </w:rPr>
        <w:t>Каталог послуг та прайс-лист для PPC-спеціалістів і таргетологів</w:t>
      </w:r>
    </w:p>
    <w:p>
      <w:pPr>
        <w:spacing w:before="0" w:after="280"/>
      </w:pPr>
      <w:r>
        <w:rPr>
          <w:rFonts w:ascii="Arial" w:hAnsi="Arial"/>
          <w:color w:val="64748B"/>
          <w:sz w:val="19"/>
        </w:rPr>
        <w:t>Виконавець: Олег Савчук (SAVATRON OS) · Веб: savatron.online · Freelancehunt: freelancehunt.com/freelancer/OLOREL.html · Безпечна робота через Сейф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224"/>
      </w:tblGrid>
      <w:tr>
        <w:tc>
          <w:tcPr>
            <w:tcW w:type="dxa" w:w="10224"/>
            <w:shd w:fill="F1F5F9"/>
            <w:tcMar>
              <w:top w:w="140" w:type="dxa"/>
              <w:bottom w:w="140" w:type="dxa"/>
              <w:left w:w="200" w:type="dxa"/>
              <w:right w:w="200" w:type="dxa"/>
            </w:tcMar>
          </w:tcPr>
          <w:p>
            <w:pPr>
              <w:spacing w:before="40" w:after="40"/>
            </w:pPr>
            <w:r>
              <w:rPr>
                <w:rFonts w:ascii="Arial" w:hAnsi="Arial"/>
                <w:color w:val="1E293B"/>
                <w:sz w:val="20"/>
              </w:rPr>
              <w:t>Ми закриваємо повний технічний та інженерний бекенд для ваших рекламних кампаній: від збору вузьких цільових B2B баз під Custom Audiences / Lookalike до серверного налаштування Meta CAPI, конверсійних квізів та швидкісних лендінгів. Ви фокусуєтеся на залученні клієнтів і оптимізації кампаній — ми гарантуємо бездоганну технічну реалізацію та дані найвищої якості.</w:t>
            </w:r>
          </w:p>
        </w:tc>
      </w:tr>
    </w:tbl>
    <w:p>
      <w:pPr>
        <w:spacing w:after="160"/>
      </w:pPr>
    </w:p>
    <w:p>
      <w:pPr>
        <w:spacing w:before="280" w:after="60"/>
      </w:pPr>
      <w:r>
        <w:rPr>
          <w:rFonts w:ascii="Arial" w:hAnsi="Arial"/>
          <w:b/>
          <w:color w:val="0F172A"/>
          <w:sz w:val="26"/>
        </w:rPr>
        <w:t>Блок 1. Парсинг, збагачення та валідація цільових B2B баз під рекламу</w:t>
      </w:r>
    </w:p>
    <w:p>
      <w:pPr>
        <w:spacing w:before="0" w:after="80"/>
      </w:pPr>
      <w:r>
        <w:rPr>
          <w:rFonts w:ascii="Arial" w:hAnsi="Arial"/>
          <w:i/>
          <w:color w:val="64748B"/>
          <w:sz w:val="20"/>
        </w:rPr>
        <w:t>Автоматизований збір контактів ЛПР, готелів, ресторанів, клінік, забудовників, e-commerce, агропідприємств та ін. під завантаження в Meta Ads (Custom Audiences / Lookalike) або прямий аутріч.</w:t>
      </w:r>
    </w:p>
    <w:p>
      <w:pPr>
        <w:pStyle w:val="ListBullet"/>
        <w:spacing w:before="0" w:after="40"/>
      </w:pPr>
      <w:r>
        <w:rPr>
          <w:rFonts w:ascii="Arial" w:hAnsi="Arial"/>
          <w:color w:val="1E293B"/>
          <w:sz w:val="19"/>
        </w:rPr>
        <w:t>Джерела: Google Maps, YouControl/Opendatabot, Booking.com, профільні реєстри, соцмережі (Instagram/FB/LinkedIn)</w:t>
      </w:r>
    </w:p>
    <w:p>
      <w:pPr>
        <w:pStyle w:val="ListBullet"/>
        <w:spacing w:before="0" w:after="40"/>
      </w:pPr>
      <w:r>
        <w:rPr>
          <w:rFonts w:ascii="Arial" w:hAnsi="Arial"/>
          <w:color w:val="1E293B"/>
          <w:sz w:val="19"/>
        </w:rPr>
        <w:t>Поля: Назва бізнесу, місто/область, адреса, телефон (валідований на наявність месенджерів), email, сайт, ПІБ ЛПР/директора</w:t>
      </w:r>
    </w:p>
    <w:p>
      <w:pPr>
        <w:pStyle w:val="ListBullet"/>
        <w:spacing w:before="0" w:after="40"/>
      </w:pPr>
      <w:r>
        <w:rPr>
          <w:rFonts w:ascii="Arial" w:hAnsi="Arial"/>
          <w:color w:val="1E293B"/>
          <w:sz w:val="19"/>
        </w:rPr>
        <w:t>100% очищення від дублів, порожніх записів та неробочих контактів</w:t>
      </w:r>
    </w:p>
    <w:p>
      <w:pPr>
        <w:pStyle w:val="ListBullet"/>
        <w:spacing w:before="0" w:after="40"/>
      </w:pPr>
      <w:r>
        <w:rPr>
          <w:rFonts w:ascii="Arial" w:hAnsi="Arial"/>
          <w:color w:val="1E293B"/>
          <w:sz w:val="19"/>
        </w:rPr>
        <w:t>Формат видачі: Excel / Google Таблиці + окремий CSV під прямий імпорт в аудиторії Meta Ads Manager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2556"/>
        <w:gridCol w:w="2556"/>
        <w:gridCol w:w="2556"/>
        <w:gridCol w:w="2556"/>
      </w:tblGrid>
      <w:tr>
        <w:tc>
          <w:tcPr>
            <w:tcW w:type="dxa" w:w="2592"/>
            <w:shd w:fill="1E293B"/>
            <w:tcMar>
              <w:top w:w="100" w:type="dxa"/>
              <w:bottom w:w="10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Пакет / Послуга</w:t>
            </w:r>
          </w:p>
        </w:tc>
        <w:tc>
          <w:tcPr>
            <w:tcW w:type="dxa" w:w="4032"/>
            <w:shd w:fill="1E293B"/>
            <w:tcMar>
              <w:top w:w="100" w:type="dxa"/>
              <w:bottom w:w="10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Що входить у результат</w:t>
            </w:r>
          </w:p>
        </w:tc>
        <w:tc>
          <w:tcPr>
            <w:tcW w:type="dxa" w:w="1872"/>
            <w:shd w:fill="1E293B"/>
            <w:tcMar>
              <w:top w:w="100" w:type="dxa"/>
              <w:bottom w:w="10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Вартість</w:t>
            </w:r>
          </w:p>
        </w:tc>
        <w:tc>
          <w:tcPr>
            <w:tcW w:type="dxa" w:w="1296"/>
            <w:shd w:fill="1E293B"/>
            <w:tcMar>
              <w:top w:w="100" w:type="dxa"/>
              <w:bottom w:w="10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Термін</w:t>
            </w:r>
          </w:p>
        </w:tc>
      </w:tr>
      <w:tr>
        <w:tc>
          <w:tcPr>
            <w:tcW w:type="dxa" w:w="2592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b/>
                <w:color w:val="1E293B"/>
                <w:sz w:val="18"/>
              </w:rPr>
              <w:t>Базовий сегментний парсинг</w:t>
            </w:r>
          </w:p>
        </w:tc>
        <w:tc>
          <w:tcPr>
            <w:tcW w:type="dxa" w:w="4032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color w:val="1E293B"/>
                <w:sz w:val="18"/>
              </w:rPr>
              <w:t>до 1 000 валідованих контактів з гео-прив'язкою</w:t>
            </w:r>
          </w:p>
        </w:tc>
        <w:tc>
          <w:tcPr>
            <w:tcW w:type="dxa" w:w="1872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right"/>
            </w:pPr>
            <w:r>
              <w:rPr>
                <w:rFonts w:ascii="Arial" w:hAnsi="Arial"/>
                <w:b/>
                <w:color w:val="10956E"/>
                <w:sz w:val="18"/>
              </w:rPr>
              <w:t>2 500 – 3 500 ₴</w:t>
            </w:r>
          </w:p>
        </w:tc>
        <w:tc>
          <w:tcPr>
            <w:tcW w:type="dxa" w:w="1296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right"/>
            </w:pPr>
            <w:r>
              <w:rPr>
                <w:rFonts w:ascii="Arial" w:hAnsi="Arial"/>
                <w:color w:val="1E293B"/>
                <w:sz w:val="18"/>
              </w:rPr>
              <w:t>1–2 дні</w:t>
            </w:r>
          </w:p>
        </w:tc>
      </w:tr>
      <w:tr>
        <w:tc>
          <w:tcPr>
            <w:tcW w:type="dxa" w:w="2592"/>
            <w:shd w:fill="F8FAFC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b/>
                <w:color w:val="1E293B"/>
                <w:sz w:val="18"/>
              </w:rPr>
              <w:t>Оптимальний B2B комплекс</w:t>
            </w:r>
          </w:p>
        </w:tc>
        <w:tc>
          <w:tcPr>
            <w:tcW w:type="dxa" w:w="4032"/>
            <w:shd w:fill="F8FAFC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color w:val="1E293B"/>
                <w:sz w:val="18"/>
              </w:rPr>
              <w:t>3 000 – 5 000 збагачених контактів з ЛПР та сайтами</w:t>
            </w:r>
          </w:p>
        </w:tc>
        <w:tc>
          <w:tcPr>
            <w:tcW w:type="dxa" w:w="1872"/>
            <w:shd w:fill="F8FAFC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right"/>
            </w:pPr>
            <w:r>
              <w:rPr>
                <w:rFonts w:ascii="Arial" w:hAnsi="Arial"/>
                <w:b/>
                <w:color w:val="10956E"/>
                <w:sz w:val="18"/>
              </w:rPr>
              <w:t>5 000 – 7 500 ₴</w:t>
            </w:r>
          </w:p>
        </w:tc>
        <w:tc>
          <w:tcPr>
            <w:tcW w:type="dxa" w:w="1296"/>
            <w:shd w:fill="F8FAFC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right"/>
            </w:pPr>
            <w:r>
              <w:rPr>
                <w:rFonts w:ascii="Arial" w:hAnsi="Arial"/>
                <w:color w:val="1E293B"/>
                <w:sz w:val="18"/>
              </w:rPr>
              <w:t>2–3 дні</w:t>
            </w:r>
          </w:p>
        </w:tc>
      </w:tr>
      <w:tr>
        <w:tc>
          <w:tcPr>
            <w:tcW w:type="dxa" w:w="2592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b/>
                <w:color w:val="1E293B"/>
                <w:sz w:val="18"/>
              </w:rPr>
              <w:t>Індивідуальний глибинний парсинг</w:t>
            </w:r>
          </w:p>
        </w:tc>
        <w:tc>
          <w:tcPr>
            <w:tcW w:type="dxa" w:w="4032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color w:val="1E293B"/>
                <w:sz w:val="18"/>
              </w:rPr>
              <w:t>Від 10 000 записів або регулярний щотижневий моніторинг</w:t>
            </w:r>
          </w:p>
        </w:tc>
        <w:tc>
          <w:tcPr>
            <w:tcW w:type="dxa" w:w="1872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right"/>
            </w:pPr>
            <w:r>
              <w:rPr>
                <w:rFonts w:ascii="Arial" w:hAnsi="Arial"/>
                <w:b/>
                <w:color w:val="10956E"/>
                <w:sz w:val="18"/>
              </w:rPr>
              <w:t>від 9 500 ₴</w:t>
            </w:r>
          </w:p>
        </w:tc>
        <w:tc>
          <w:tcPr>
            <w:tcW w:type="dxa" w:w="1296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right"/>
            </w:pPr>
            <w:r>
              <w:rPr>
                <w:rFonts w:ascii="Arial" w:hAnsi="Arial"/>
                <w:color w:val="1E293B"/>
                <w:sz w:val="18"/>
              </w:rPr>
              <w:t>за домовленістю</w:t>
            </w:r>
          </w:p>
        </w:tc>
      </w:tr>
    </w:tbl>
    <w:p>
      <w:pPr>
        <w:spacing w:after="80"/>
      </w:pPr>
    </w:p>
    <w:p>
      <w:pPr>
        <w:spacing w:before="280" w:after="60"/>
      </w:pPr>
      <w:r>
        <w:rPr>
          <w:rFonts w:ascii="Arial" w:hAnsi="Arial"/>
          <w:b/>
          <w:color w:val="0F172A"/>
          <w:sz w:val="26"/>
        </w:rPr>
        <w:t>Блок 2. Технічний сетап веб-аналітики, Meta CAPI та трекінгу лідів</w:t>
      </w:r>
    </w:p>
    <w:p>
      <w:pPr>
        <w:spacing w:before="0" w:after="80"/>
      </w:pPr>
      <w:r>
        <w:rPr>
          <w:rFonts w:ascii="Arial" w:hAnsi="Arial"/>
          <w:i/>
          <w:color w:val="64748B"/>
          <w:sz w:val="20"/>
        </w:rPr>
        <w:t>Надійне відстеження подій і конверсій в умовах обмежень Safari / iOS 14.5+ та AdBlock. Збільшення якості зіставлення подій (Event Match Quality) до 8.5–9.5/10.</w:t>
      </w:r>
    </w:p>
    <w:p>
      <w:pPr>
        <w:pStyle w:val="ListBullet"/>
        <w:spacing w:before="0" w:after="40"/>
      </w:pPr>
      <w:r>
        <w:rPr>
          <w:rFonts w:ascii="Arial" w:hAnsi="Arial"/>
          <w:color w:val="1E293B"/>
          <w:sz w:val="19"/>
        </w:rPr>
        <w:t>Серверний трекінг Meta Conversions API (CAPI) через Cloudflare Workers / Stape / власний сервер</w:t>
      </w:r>
    </w:p>
    <w:p>
      <w:pPr>
        <w:pStyle w:val="ListBullet"/>
        <w:spacing w:before="0" w:after="40"/>
      </w:pPr>
      <w:r>
        <w:rPr>
          <w:rFonts w:ascii="Arial" w:hAnsi="Arial"/>
          <w:color w:val="1E293B"/>
          <w:sz w:val="19"/>
        </w:rPr>
        <w:t>Google Tag Manager (GTM): налаштування тригерів кліків, скролу, заповнення форм, копіювання номерів</w:t>
      </w:r>
    </w:p>
    <w:p>
      <w:pPr>
        <w:pStyle w:val="ListBullet"/>
        <w:spacing w:before="0" w:after="40"/>
      </w:pPr>
      <w:r>
        <w:rPr>
          <w:rFonts w:ascii="Arial" w:hAnsi="Arial"/>
          <w:color w:val="1E293B"/>
          <w:sz w:val="19"/>
        </w:rPr>
        <w:t>Google Analytics 4 (GA4): налаштування воронок подій, e-commerce електронної комерції</w:t>
      </w:r>
    </w:p>
    <w:p>
      <w:pPr>
        <w:pStyle w:val="ListBullet"/>
        <w:spacing w:before="0" w:after="40"/>
      </w:pPr>
      <w:r>
        <w:rPr>
          <w:rFonts w:ascii="Arial" w:hAnsi="Arial"/>
          <w:color w:val="1E293B"/>
          <w:sz w:val="19"/>
        </w:rPr>
        <w:t>Наскрізна передача UTM-міток, fbclid, gclid, Client ID у форми та CRM</w:t>
      </w:r>
    </w:p>
    <w:p>
      <w:pPr>
        <w:pStyle w:val="ListBullet"/>
        <w:spacing w:before="0" w:after="40"/>
      </w:pPr>
      <w:r>
        <w:rPr>
          <w:rFonts w:ascii="Arial" w:hAnsi="Arial"/>
          <w:color w:val="1E293B"/>
          <w:sz w:val="19"/>
        </w:rPr>
        <w:t>Миттєве дублювання лідів у закритий Telegram-чат клієнта (доставка 3-5 секунд)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2556"/>
        <w:gridCol w:w="2556"/>
        <w:gridCol w:w="2556"/>
        <w:gridCol w:w="2556"/>
      </w:tblGrid>
      <w:tr>
        <w:tc>
          <w:tcPr>
            <w:tcW w:type="dxa" w:w="2592"/>
            <w:shd w:fill="1E293B"/>
            <w:tcMar>
              <w:top w:w="100" w:type="dxa"/>
              <w:bottom w:w="10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Пакет / Послуга</w:t>
            </w:r>
          </w:p>
        </w:tc>
        <w:tc>
          <w:tcPr>
            <w:tcW w:type="dxa" w:w="4032"/>
            <w:shd w:fill="1E293B"/>
            <w:tcMar>
              <w:top w:w="100" w:type="dxa"/>
              <w:bottom w:w="10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Що входить у результат</w:t>
            </w:r>
          </w:p>
        </w:tc>
        <w:tc>
          <w:tcPr>
            <w:tcW w:type="dxa" w:w="1872"/>
            <w:shd w:fill="1E293B"/>
            <w:tcMar>
              <w:top w:w="100" w:type="dxa"/>
              <w:bottom w:w="10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Вартість</w:t>
            </w:r>
          </w:p>
        </w:tc>
        <w:tc>
          <w:tcPr>
            <w:tcW w:type="dxa" w:w="1296"/>
            <w:shd w:fill="1E293B"/>
            <w:tcMar>
              <w:top w:w="100" w:type="dxa"/>
              <w:bottom w:w="10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Термін</w:t>
            </w:r>
          </w:p>
        </w:tc>
      </w:tr>
      <w:tr>
        <w:tc>
          <w:tcPr>
            <w:tcW w:type="dxa" w:w="2592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b/>
                <w:color w:val="1E293B"/>
                <w:sz w:val="18"/>
              </w:rPr>
              <w:t>Meta CAPI + Pixel + GTM під ключ</w:t>
            </w:r>
          </w:p>
        </w:tc>
        <w:tc>
          <w:tcPr>
            <w:tcW w:type="dxa" w:w="4032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color w:val="1E293B"/>
                <w:sz w:val="18"/>
              </w:rPr>
              <w:t>Повний серверний сетап Meta CAPI, пікселя та 5 ключових подій</w:t>
            </w:r>
          </w:p>
        </w:tc>
        <w:tc>
          <w:tcPr>
            <w:tcW w:type="dxa" w:w="1872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right"/>
            </w:pPr>
            <w:r>
              <w:rPr>
                <w:rFonts w:ascii="Arial" w:hAnsi="Arial"/>
                <w:b/>
                <w:color w:val="10956E"/>
                <w:sz w:val="18"/>
              </w:rPr>
              <w:t>3 000 – 4 500 ₴</w:t>
            </w:r>
          </w:p>
        </w:tc>
        <w:tc>
          <w:tcPr>
            <w:tcW w:type="dxa" w:w="1296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right"/>
            </w:pPr>
            <w:r>
              <w:rPr>
                <w:rFonts w:ascii="Arial" w:hAnsi="Arial"/>
                <w:color w:val="1E293B"/>
                <w:sz w:val="18"/>
              </w:rPr>
              <w:t>1–2 дні</w:t>
            </w:r>
          </w:p>
        </w:tc>
      </w:tr>
      <w:tr>
        <w:tc>
          <w:tcPr>
            <w:tcW w:type="dxa" w:w="2592"/>
            <w:shd w:fill="F8FAFC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b/>
                <w:color w:val="1E293B"/>
                <w:sz w:val="18"/>
              </w:rPr>
              <w:t>Комплексний сетап аналітики</w:t>
            </w:r>
          </w:p>
        </w:tc>
        <w:tc>
          <w:tcPr>
            <w:tcW w:type="dxa" w:w="4032"/>
            <w:shd w:fill="F8FAFC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color w:val="1E293B"/>
                <w:sz w:val="18"/>
              </w:rPr>
              <w:t>CAPI + GA4 + GTM + UTM-прокидання в CRM + Telegram-сповіщення</w:t>
            </w:r>
          </w:p>
        </w:tc>
        <w:tc>
          <w:tcPr>
            <w:tcW w:type="dxa" w:w="1872"/>
            <w:shd w:fill="F8FAFC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right"/>
            </w:pPr>
            <w:r>
              <w:rPr>
                <w:rFonts w:ascii="Arial" w:hAnsi="Arial"/>
                <w:b/>
                <w:color w:val="10956E"/>
                <w:sz w:val="18"/>
              </w:rPr>
              <w:t>6 000 – 8 500 ₴</w:t>
            </w:r>
          </w:p>
        </w:tc>
        <w:tc>
          <w:tcPr>
            <w:tcW w:type="dxa" w:w="1296"/>
            <w:shd w:fill="F8FAFC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right"/>
            </w:pPr>
            <w:r>
              <w:rPr>
                <w:rFonts w:ascii="Arial" w:hAnsi="Arial"/>
                <w:color w:val="1E293B"/>
                <w:sz w:val="18"/>
              </w:rPr>
              <w:t>2–3 дні</w:t>
            </w:r>
          </w:p>
        </w:tc>
      </w:tr>
    </w:tbl>
    <w:p>
      <w:pPr>
        <w:spacing w:after="80"/>
      </w:pPr>
    </w:p>
    <w:p>
      <w:pPr>
        <w:spacing w:before="280" w:after="60"/>
      </w:pPr>
      <w:r>
        <w:rPr>
          <w:rFonts w:ascii="Arial" w:hAnsi="Arial"/>
          <w:b/>
          <w:color w:val="0F172A"/>
          <w:sz w:val="26"/>
        </w:rPr>
        <w:t>Блок 3. Конверсійні лендінги, лідогенеруючі квізи та преленди</w:t>
      </w:r>
    </w:p>
    <w:p>
      <w:pPr>
        <w:spacing w:before="0" w:after="80"/>
      </w:pPr>
      <w:r>
        <w:rPr>
          <w:rFonts w:ascii="Arial" w:hAnsi="Arial"/>
          <w:i/>
          <w:color w:val="64748B"/>
          <w:sz w:val="20"/>
        </w:rPr>
        <w:t>Швидкі посадкові сторінки, оптимізовані суворо під окупність трафіку. Швидкість 90+ балів Google Mobile PageSpeed = мінімальний відмовний трафік і дешевша ціна кліка.</w:t>
      </w:r>
    </w:p>
    <w:p>
      <w:pPr>
        <w:pStyle w:val="ListBullet"/>
        <w:spacing w:before="0" w:after="40"/>
      </w:pPr>
      <w:r>
        <w:rPr>
          <w:rFonts w:ascii="Arial" w:hAnsi="Arial"/>
          <w:color w:val="1E293B"/>
          <w:sz w:val="19"/>
        </w:rPr>
        <w:t>Технології: швидкісний чистий код (Vite / React / HTML5) або Tilda / Webflow за побажанням</w:t>
      </w:r>
    </w:p>
    <w:p>
      <w:pPr>
        <w:pStyle w:val="ListBullet"/>
        <w:spacing w:before="0" w:after="40"/>
      </w:pPr>
      <w:r>
        <w:rPr>
          <w:rFonts w:ascii="Arial" w:hAnsi="Arial"/>
          <w:color w:val="1E293B"/>
          <w:sz w:val="19"/>
        </w:rPr>
        <w:t>Мультистеп квізи з логікою розгалуження (конверсія в заявку до 12–18%)</w:t>
      </w:r>
    </w:p>
    <w:p>
      <w:pPr>
        <w:pStyle w:val="ListBullet"/>
        <w:spacing w:before="0" w:after="40"/>
      </w:pPr>
      <w:r>
        <w:rPr>
          <w:rFonts w:ascii="Arial" w:hAnsi="Arial"/>
          <w:color w:val="1E293B"/>
          <w:sz w:val="19"/>
        </w:rPr>
        <w:t>Повна адаптація під смартфони (Mobile-First)</w:t>
      </w:r>
    </w:p>
    <w:p>
      <w:pPr>
        <w:pStyle w:val="ListBullet"/>
        <w:spacing w:before="0" w:after="40"/>
      </w:pPr>
      <w:r>
        <w:rPr>
          <w:rFonts w:ascii="Arial" w:hAnsi="Arial"/>
          <w:color w:val="1E293B"/>
          <w:sz w:val="19"/>
        </w:rPr>
        <w:t>Готові інтеграції з KeyCRM, SalesDrive, Zoho, HubSpot, Google Таблицями, платіжними шлюзами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2556"/>
        <w:gridCol w:w="2556"/>
        <w:gridCol w:w="2556"/>
        <w:gridCol w:w="2556"/>
      </w:tblGrid>
      <w:tr>
        <w:tc>
          <w:tcPr>
            <w:tcW w:type="dxa" w:w="2592"/>
            <w:shd w:fill="1E293B"/>
            <w:tcMar>
              <w:top w:w="100" w:type="dxa"/>
              <w:bottom w:w="10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Пакет / Послуга</w:t>
            </w:r>
          </w:p>
        </w:tc>
        <w:tc>
          <w:tcPr>
            <w:tcW w:type="dxa" w:w="4032"/>
            <w:shd w:fill="1E293B"/>
            <w:tcMar>
              <w:top w:w="100" w:type="dxa"/>
              <w:bottom w:w="10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Що входить у результат</w:t>
            </w:r>
          </w:p>
        </w:tc>
        <w:tc>
          <w:tcPr>
            <w:tcW w:type="dxa" w:w="1872"/>
            <w:shd w:fill="1E293B"/>
            <w:tcMar>
              <w:top w:w="100" w:type="dxa"/>
              <w:bottom w:w="10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Вартість</w:t>
            </w:r>
          </w:p>
        </w:tc>
        <w:tc>
          <w:tcPr>
            <w:tcW w:type="dxa" w:w="1296"/>
            <w:shd w:fill="1E293B"/>
            <w:tcMar>
              <w:top w:w="100" w:type="dxa"/>
              <w:bottom w:w="10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Термін</w:t>
            </w:r>
          </w:p>
        </w:tc>
      </w:tr>
      <w:tr>
        <w:tc>
          <w:tcPr>
            <w:tcW w:type="dxa" w:w="2592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b/>
                <w:color w:val="1E293B"/>
                <w:sz w:val="18"/>
              </w:rPr>
              <w:t>Інтерактивний Квіз під ключ</w:t>
            </w:r>
          </w:p>
        </w:tc>
        <w:tc>
          <w:tcPr>
            <w:tcW w:type="dxa" w:w="4032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color w:val="1E293B"/>
                <w:sz w:val="18"/>
              </w:rPr>
              <w:t>5–7 запитань, збір контактів, аналітика, передача в CRM</w:t>
            </w:r>
          </w:p>
        </w:tc>
        <w:tc>
          <w:tcPr>
            <w:tcW w:type="dxa" w:w="1872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right"/>
            </w:pPr>
            <w:r>
              <w:rPr>
                <w:rFonts w:ascii="Arial" w:hAnsi="Arial"/>
                <w:b/>
                <w:color w:val="10956E"/>
                <w:sz w:val="18"/>
              </w:rPr>
              <w:t>4 500 – 6 500 ₴</w:t>
            </w:r>
          </w:p>
        </w:tc>
        <w:tc>
          <w:tcPr>
            <w:tcW w:type="dxa" w:w="1296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right"/>
            </w:pPr>
            <w:r>
              <w:rPr>
                <w:rFonts w:ascii="Arial" w:hAnsi="Arial"/>
                <w:color w:val="1E293B"/>
                <w:sz w:val="18"/>
              </w:rPr>
              <w:t>2–3 дні</w:t>
            </w:r>
          </w:p>
        </w:tc>
      </w:tr>
      <w:tr>
        <w:tc>
          <w:tcPr>
            <w:tcW w:type="dxa" w:w="2592"/>
            <w:shd w:fill="F8FAFC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b/>
                <w:color w:val="1E293B"/>
                <w:sz w:val="18"/>
              </w:rPr>
              <w:t>Конверсійний Landing Page</w:t>
            </w:r>
          </w:p>
        </w:tc>
        <w:tc>
          <w:tcPr>
            <w:tcW w:type="dxa" w:w="4032"/>
            <w:shd w:fill="F8FAFC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color w:val="1E293B"/>
                <w:sz w:val="18"/>
              </w:rPr>
              <w:t>Структура, копірайтинг під болі аудиторії, дизайн, форма, аналітика</w:t>
            </w:r>
          </w:p>
        </w:tc>
        <w:tc>
          <w:tcPr>
            <w:tcW w:type="dxa" w:w="1872"/>
            <w:shd w:fill="F8FAFC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right"/>
            </w:pPr>
            <w:r>
              <w:rPr>
                <w:rFonts w:ascii="Arial" w:hAnsi="Arial"/>
                <w:b/>
                <w:color w:val="10956E"/>
                <w:sz w:val="18"/>
              </w:rPr>
              <w:t>8 000 – 14 000 ₴</w:t>
            </w:r>
          </w:p>
        </w:tc>
        <w:tc>
          <w:tcPr>
            <w:tcW w:type="dxa" w:w="1296"/>
            <w:shd w:fill="F8FAFC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right"/>
            </w:pPr>
            <w:r>
              <w:rPr>
                <w:rFonts w:ascii="Arial" w:hAnsi="Arial"/>
                <w:color w:val="1E293B"/>
                <w:sz w:val="18"/>
              </w:rPr>
              <w:t>3–5 днів</w:t>
            </w:r>
          </w:p>
        </w:tc>
      </w:tr>
    </w:tbl>
    <w:p>
      <w:pPr>
        <w:spacing w:after="80"/>
      </w:pPr>
    </w:p>
    <w:p>
      <w:pPr>
        <w:spacing w:before="280" w:after="60"/>
      </w:pPr>
      <w:r>
        <w:rPr>
          <w:rFonts w:ascii="Arial" w:hAnsi="Arial"/>
          <w:b/>
          <w:color w:val="0F172A"/>
          <w:sz w:val="26"/>
        </w:rPr>
        <w:t>Блок 4. AI &amp; 3D креативи для рекламних кампаній (Meta / TikTok / YouTube)</w:t>
      </w:r>
    </w:p>
    <w:p>
      <w:pPr>
        <w:spacing w:before="0" w:after="80"/>
      </w:pPr>
      <w:r>
        <w:rPr>
          <w:rFonts w:ascii="Arial" w:hAnsi="Arial"/>
          <w:i/>
          <w:color w:val="64748B"/>
          <w:sz w:val="20"/>
        </w:rPr>
        <w:t>Виробництво візуальних активів високої конверсії для зниження CPA та подолання банерної сліпоти.</w:t>
      </w:r>
    </w:p>
    <w:p>
      <w:pPr>
        <w:pStyle w:val="ListBullet"/>
        <w:spacing w:before="0" w:after="40"/>
      </w:pPr>
      <w:r>
        <w:rPr>
          <w:rFonts w:ascii="Arial" w:hAnsi="Arial"/>
          <w:color w:val="1E293B"/>
          <w:sz w:val="19"/>
        </w:rPr>
        <w:t>3D моделювання та фотореалістичний рендеринг товарів у незвичайних середовищах</w:t>
      </w:r>
    </w:p>
    <w:p>
      <w:pPr>
        <w:pStyle w:val="ListBullet"/>
        <w:spacing w:before="0" w:after="40"/>
      </w:pPr>
      <w:r>
        <w:rPr>
          <w:rFonts w:ascii="Arial" w:hAnsi="Arial"/>
          <w:color w:val="1E293B"/>
          <w:sz w:val="19"/>
        </w:rPr>
        <w:t>Відеокреативи у форматі 9:16 (Reels / TikTok / Shorts) з динамічним монтажем та дикторською озвучкою</w:t>
      </w:r>
    </w:p>
    <w:p>
      <w:pPr>
        <w:pStyle w:val="ListBullet"/>
        <w:spacing w:before="0" w:after="40"/>
      </w:pPr>
      <w:r>
        <w:rPr>
          <w:rFonts w:ascii="Arial" w:hAnsi="Arial"/>
          <w:color w:val="1E293B"/>
          <w:sz w:val="19"/>
        </w:rPr>
        <w:t>Пакетна адаптація розмірів: 1:1 (стрічка), 9:16 (Stories/Reels), 1.91:1 (горизонтальні банери)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2556"/>
        <w:gridCol w:w="2556"/>
        <w:gridCol w:w="2556"/>
        <w:gridCol w:w="2556"/>
      </w:tblGrid>
      <w:tr>
        <w:tc>
          <w:tcPr>
            <w:tcW w:type="dxa" w:w="2592"/>
            <w:shd w:fill="1E293B"/>
            <w:tcMar>
              <w:top w:w="100" w:type="dxa"/>
              <w:bottom w:w="10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Пакет / Послуга</w:t>
            </w:r>
          </w:p>
        </w:tc>
        <w:tc>
          <w:tcPr>
            <w:tcW w:type="dxa" w:w="4032"/>
            <w:shd w:fill="1E293B"/>
            <w:tcMar>
              <w:top w:w="100" w:type="dxa"/>
              <w:bottom w:w="10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Що входить у результат</w:t>
            </w:r>
          </w:p>
        </w:tc>
        <w:tc>
          <w:tcPr>
            <w:tcW w:type="dxa" w:w="1872"/>
            <w:shd w:fill="1E293B"/>
            <w:tcMar>
              <w:top w:w="100" w:type="dxa"/>
              <w:bottom w:w="10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Вартість</w:t>
            </w:r>
          </w:p>
        </w:tc>
        <w:tc>
          <w:tcPr>
            <w:tcW w:type="dxa" w:w="1296"/>
            <w:shd w:fill="1E293B"/>
            <w:tcMar>
              <w:top w:w="100" w:type="dxa"/>
              <w:bottom w:w="10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Термін</w:t>
            </w:r>
          </w:p>
        </w:tc>
      </w:tr>
      <w:tr>
        <w:tc>
          <w:tcPr>
            <w:tcW w:type="dxa" w:w="2592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b/>
                <w:color w:val="1E293B"/>
                <w:sz w:val="18"/>
              </w:rPr>
              <w:t>Пакет статичних банерів (5 концепцій)</w:t>
            </w:r>
          </w:p>
        </w:tc>
        <w:tc>
          <w:tcPr>
            <w:tcW w:type="dxa" w:w="4032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color w:val="1E293B"/>
                <w:sz w:val="18"/>
              </w:rPr>
              <w:t>5 різних оферів у 3 розмірах (15 макетів)</w:t>
            </w:r>
          </w:p>
        </w:tc>
        <w:tc>
          <w:tcPr>
            <w:tcW w:type="dxa" w:w="1872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right"/>
            </w:pPr>
            <w:r>
              <w:rPr>
                <w:rFonts w:ascii="Arial" w:hAnsi="Arial"/>
                <w:b/>
                <w:color w:val="10956E"/>
                <w:sz w:val="18"/>
              </w:rPr>
              <w:t>3 000 – 4 500 ₴</w:t>
            </w:r>
          </w:p>
        </w:tc>
        <w:tc>
          <w:tcPr>
            <w:tcW w:type="dxa" w:w="1296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right"/>
            </w:pPr>
            <w:r>
              <w:rPr>
                <w:rFonts w:ascii="Arial" w:hAnsi="Arial"/>
                <w:color w:val="1E293B"/>
                <w:sz w:val="18"/>
              </w:rPr>
              <w:t>1–2 дні</w:t>
            </w:r>
          </w:p>
        </w:tc>
      </w:tr>
      <w:tr>
        <w:tc>
          <w:tcPr>
            <w:tcW w:type="dxa" w:w="2592"/>
            <w:shd w:fill="F8FAFC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b/>
                <w:color w:val="1E293B"/>
                <w:sz w:val="18"/>
              </w:rPr>
              <w:t>Пакет динамічних відео (3 Reels/Stories)</w:t>
            </w:r>
          </w:p>
        </w:tc>
        <w:tc>
          <w:tcPr>
            <w:tcW w:type="dxa" w:w="4032"/>
            <w:shd w:fill="F8FAFC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left"/>
            </w:pPr>
            <w:r>
              <w:rPr>
                <w:rFonts w:ascii="Arial" w:hAnsi="Arial"/>
                <w:color w:val="1E293B"/>
                <w:sz w:val="18"/>
              </w:rPr>
              <w:t>Монтаж, хук перших 3 секунд, субтитри, озвучка</w:t>
            </w:r>
          </w:p>
        </w:tc>
        <w:tc>
          <w:tcPr>
            <w:tcW w:type="dxa" w:w="1872"/>
            <w:shd w:fill="F8FAFC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right"/>
            </w:pPr>
            <w:r>
              <w:rPr>
                <w:rFonts w:ascii="Arial" w:hAnsi="Arial"/>
                <w:b/>
                <w:color w:val="10956E"/>
                <w:sz w:val="18"/>
              </w:rPr>
              <w:t>4 500 – 7 000 ₴</w:t>
            </w:r>
          </w:p>
        </w:tc>
        <w:tc>
          <w:tcPr>
            <w:tcW w:type="dxa" w:w="1296"/>
            <w:shd w:fill="F8FAFC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jc w:val="right"/>
            </w:pPr>
            <w:r>
              <w:rPr>
                <w:rFonts w:ascii="Arial" w:hAnsi="Arial"/>
                <w:color w:val="1E293B"/>
                <w:sz w:val="18"/>
              </w:rPr>
              <w:t>2–3 дні</w:t>
            </w:r>
          </w:p>
        </w:tc>
      </w:tr>
    </w:tbl>
    <w:p>
      <w:pPr>
        <w:spacing w:after="8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224"/>
      </w:tblGrid>
      <w:tr>
        <w:tc>
          <w:tcPr>
            <w:tcW w:type="dxa" w:w="10224"/>
            <w:shd w:fill="EFF6FF"/>
            <w:tcMar>
              <w:top w:w="140" w:type="dxa"/>
              <w:bottom w:w="140" w:type="dxa"/>
              <w:left w:w="200" w:type="dxa"/>
              <w:right w:w="200" w:type="dxa"/>
            </w:tcMar>
          </w:tcPr>
          <w:p>
            <w:pPr>
              <w:spacing w:before="0" w:after="80"/>
            </w:pPr>
            <w:r>
              <w:rPr>
                <w:rFonts w:ascii="Arial" w:hAnsi="Arial"/>
                <w:b/>
                <w:color w:val="2563EB"/>
                <w:sz w:val="21"/>
              </w:rPr>
              <w:t>🤝 Спеціальні умови для таргетологів та рекламних агенцій (Партнерство):</w:t>
              <w:br/>
            </w:r>
            <w:r>
              <w:rPr>
                <w:rFonts w:ascii="Arial" w:hAnsi="Arial"/>
                <w:color w:val="1E293B"/>
                <w:sz w:val="19"/>
              </w:rPr>
              <w:t>• 15% партнерська комісія з кожного замовлення вашого клієнта або знижка 15% для клієнта на ваш вибір.</w:t>
              <w:br/>
              <w:t>• White-Label формат: за потреби виконуємо завдання під брендом вашої агенції без прямих контактів з клієнтом.</w:t>
              <w:br/>
              <w:t>• Робота суворо через Сейф на Freelancehunt або офіційний договір ФОП з наданням усіх закриваючих документів.</w:t>
              <w:br/>
              <w:t>• Оперативна комунікація та технічний супровід: гарантована відповідь до 15 хвилин.</w:t>
            </w:r>
          </w:p>
        </w:tc>
      </w:tr>
    </w:tbl>
    <w:p>
      <w:pPr>
        <w:spacing w:after="160"/>
      </w:pPr>
    </w:p>
    <w:p>
      <w:pPr>
        <w:spacing w:before="160"/>
        <w:jc w:val="center"/>
      </w:pPr>
      <w:r>
        <w:rPr>
          <w:rFonts w:ascii="Arial" w:hAnsi="Arial"/>
          <w:i/>
          <w:color w:val="64748B"/>
          <w:sz w:val="18"/>
        </w:rPr>
        <w:t>SAVATRON OS · Надійний технічний партнер вашого рекламного бізнесу</w:t>
        <w:br/>
        <w:t>Telegram: @SAVATRON_BOS · Freelancehunt: freelancehunt.com/freelancer/OLOREL.html</w:t>
      </w:r>
    </w:p>
    <w:sectPr w:rsidR="00FC693F" w:rsidRPr="0006063C" w:rsidSect="00034616">
      <w:pgSz w:w="12240" w:h="15840"/>
      <w:pgMar w:top="936" w:right="1008" w:bottom="936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